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Quelles initiatives valoriser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0"/>
          <w:color w:val="1c4587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1c4587"/>
          <w:sz w:val="20"/>
          <w:szCs w:val="20"/>
          <w:vertAlign w:val="baseline"/>
          <w:rtl w:val="0"/>
        </w:rPr>
        <w:t xml:space="preserve">Voici les thématiques qui </w:t>
      </w:r>
      <w:r w:rsidDel="00000000" w:rsidR="00000000" w:rsidRPr="00000000">
        <w:rPr>
          <w:b w:val="1"/>
          <w:color w:val="1c4587"/>
          <w:sz w:val="20"/>
          <w:szCs w:val="20"/>
          <w:rtl w:val="0"/>
        </w:rPr>
        <w:t xml:space="preserve">s</w:t>
      </w:r>
      <w:r w:rsidDel="00000000" w:rsidR="00000000" w:rsidRPr="00000000">
        <w:rPr>
          <w:b w:val="1"/>
          <w:color w:val="1c4587"/>
          <w:sz w:val="20"/>
          <w:szCs w:val="20"/>
          <w:vertAlign w:val="baseline"/>
          <w:rtl w:val="0"/>
        </w:rPr>
        <w:t xml:space="preserve">ont abordées sur le site “Initiatives dans les bibliothèques normandes”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Accueil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Initiatives internes pour l’amélioration de l’accueil et de la communication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0"/>
          <w:sz w:val="20"/>
          <w:szCs w:val="20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Aménagement de l’espace pour améliorer l’accueil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Arimo" w:cs="Arimo" w:eastAsia="Arimo" w:hAnsi="Arimo"/>
          <w:sz w:val="20"/>
          <w:szCs w:val="20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Initiatives liées aux horaires d’ouverture</w:t>
          </w:r>
        </w:sdtContent>
      </w:sdt>
    </w:p>
    <w:p w:rsidR="00000000" w:rsidDel="00000000" w:rsidP="00000000" w:rsidRDefault="00000000" w:rsidRPr="00000000" w14:paraId="0000000D">
      <w:pPr>
        <w:spacing w:line="240" w:lineRule="auto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Collections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mo" w:cs="Arimo" w:eastAsia="Arimo" w:hAnsi="Arimo"/>
          <w:sz w:val="20"/>
          <w:szCs w:val="20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→ Initiatives liées au traitement et à l’aménagement des collections</w:t>
          </w:r>
        </w:sdtContent>
      </w:sdt>
    </w:p>
    <w:p w:rsidR="00000000" w:rsidDel="00000000" w:rsidP="00000000" w:rsidRDefault="00000000" w:rsidRPr="00000000" w14:paraId="00000010">
      <w:pPr>
        <w:spacing w:line="240" w:lineRule="auto"/>
        <w:rPr>
          <w:rFonts w:ascii="Arimo" w:cs="Arimo" w:eastAsia="Arimo" w:hAnsi="Arimo"/>
          <w:sz w:val="20"/>
          <w:szCs w:val="20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→ Fonds spécifiques </w:t>
          </w:r>
        </w:sdtContent>
      </w:sdt>
    </w:p>
    <w:p w:rsidR="00000000" w:rsidDel="00000000" w:rsidP="00000000" w:rsidRDefault="00000000" w:rsidRPr="00000000" w14:paraId="00000011">
      <w:pPr>
        <w:spacing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Bibliothèque participative et citoyenne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Toutes les initiatives qui font participer le public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Rapports entre les usagers/les bibliothécaires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Conception de l'architecture/du programme d’animations des médiathèques avec les usagers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Intergénérationnel et rapprochement des publics entre eux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  <w:highlight w:val="green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Recours au bénévolat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Accessibilité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</w:t>
          </w:r>
        </w:sdtContent>
      </w:sdt>
      <w:r w:rsidDel="00000000" w:rsidR="00000000" w:rsidRPr="00000000">
        <w:rPr>
          <w:sz w:val="20"/>
          <w:szCs w:val="20"/>
          <w:vertAlign w:val="baseline"/>
          <w:rtl w:val="0"/>
        </w:rPr>
        <w:t xml:space="preserve">En terme de collections et de classement 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En termes de médiation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En termes d’espaces et de signalétique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La bibliothèque accessible à tous types de publics, “inclusive”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  <w:highlight w:val="gre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Numérique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  <w:highlight w:val="green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Déploiement de matériel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Médiation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Services particuliers liés au numérique, services innovants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  <w:highlight w:val="green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Espaces “numérique” originaux</w:t>
          </w:r>
        </w:sdtContent>
      </w:sdt>
      <w:r w:rsidDel="00000000" w:rsidR="00000000" w:rsidRPr="00000000">
        <w:rPr>
          <w:sz w:val="20"/>
          <w:szCs w:val="20"/>
          <w:highlight w:val="gree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  <w:highlight w:val="gre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Animations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Médiation et animations</w:t>
            <w:br w:type="textWrapping"/>
            <w:t xml:space="preserve">→ Animations mutualisées entre bibliothèques </w:t>
          </w:r>
        </w:sdtContent>
      </w:sdt>
      <w:r w:rsidDel="00000000" w:rsidR="00000000" w:rsidRPr="00000000">
        <w:rPr>
          <w:sz w:val="20"/>
          <w:szCs w:val="20"/>
          <w:vertAlign w:val="baseline"/>
          <w:rtl w:val="0"/>
        </w:rPr>
        <w:t xml:space="preserve">et/ou avec d’autres acteurs culturels et sociaux 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Services associés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Services inclus dans l’espace de la bibliothèque : espace emploi, écrivain public, artothèque…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Partenariats originaux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Intervention d’associations, d’autres partenaires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Patrimoine écrit et graphique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Médiation et animations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Aménagement d’espaces patrimoine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vertAlign w:val="baseline"/>
              <w:rtl w:val="0"/>
            </w:rPr>
            <w:t xml:space="preserve">→ Espaces numériques collaboratifs : corrections de données en ligne, suggestions d’acquisitions,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collectes de patrimoines privés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iche “initiative” à remplir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i w:val="0"/>
          <w:color w:val="98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mo" w:cs="Arimo" w:eastAsia="Arimo" w:hAnsi="Arimo"/>
          <w:b w:val="0"/>
          <w:i w:val="0"/>
          <w:color w:val="1c4587"/>
          <w:sz w:val="20"/>
          <w:szCs w:val="20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1"/>
          <w:color w:val="1c4587"/>
          <w:sz w:val="20"/>
          <w:szCs w:val="20"/>
          <w:rtl w:val="0"/>
        </w:rPr>
        <w:t xml:space="preserve">→ </w:t>
      </w:r>
      <w:r w:rsidDel="00000000" w:rsidR="00000000" w:rsidRPr="00000000">
        <w:rPr>
          <w:rFonts w:ascii="Arimo" w:cs="Arimo" w:eastAsia="Arimo" w:hAnsi="Arimo"/>
          <w:b w:val="1"/>
          <w:i w:val="1"/>
          <w:color w:val="1c4587"/>
          <w:sz w:val="20"/>
          <w:szCs w:val="20"/>
          <w:vertAlign w:val="baseline"/>
          <w:rtl w:val="0"/>
        </w:rPr>
        <w:t xml:space="preserve">Une même initiative pourra rentrer dans plusieurs catégories du 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mo" w:cs="Arimo" w:eastAsia="Arimo" w:hAnsi="Arimo"/>
          <w:b w:val="0"/>
          <w:i w:val="0"/>
          <w:color w:val="1c4587"/>
          <w:sz w:val="20"/>
          <w:szCs w:val="20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1"/>
          <w:color w:val="1c4587"/>
          <w:sz w:val="20"/>
          <w:szCs w:val="20"/>
          <w:rtl w:val="0"/>
        </w:rPr>
        <w:t xml:space="preserve">→ </w:t>
      </w:r>
      <w:r w:rsidDel="00000000" w:rsidR="00000000" w:rsidRPr="00000000">
        <w:rPr>
          <w:rFonts w:ascii="Arimo" w:cs="Arimo" w:eastAsia="Arimo" w:hAnsi="Arimo"/>
          <w:b w:val="1"/>
          <w:i w:val="1"/>
          <w:color w:val="1c4587"/>
          <w:sz w:val="20"/>
          <w:szCs w:val="20"/>
          <w:vertAlign w:val="baseline"/>
          <w:rtl w:val="0"/>
        </w:rPr>
        <w:t xml:space="preserve">Pour tout renseignement : Alexandra Guéroult-Picot - alexandra.gueroult@normandielivre.fr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mo" w:cs="Arimo" w:eastAsia="Arimo" w:hAnsi="Arimo"/>
          <w:b w:val="0"/>
          <w:i w:val="0"/>
          <w:color w:val="1c4587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i w:val="0"/>
          <w:color w:val="1c4587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Nom de la structure 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Contact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0"/>
          <w:sz w:val="20"/>
          <w:szCs w:val="20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0"/>
              <w:szCs w:val="20"/>
              <w:vertAlign w:val="baseline"/>
              <w:rtl w:val="0"/>
            </w:rPr>
            <w:t xml:space="preserve">→ Adresse de la structure, téléphone, site Web.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Coordonnées du référent de l’action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0"/>
          <w:sz w:val="20"/>
          <w:szCs w:val="20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0"/>
              <w:szCs w:val="20"/>
              <w:vertAlign w:val="baseline"/>
              <w:rtl w:val="0"/>
            </w:rPr>
            <w:t xml:space="preserve">→ Nom, prénom, adresse mail.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Titre de l’action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Résumé de l’action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i w:val="0"/>
          <w:sz w:val="20"/>
          <w:szCs w:val="20"/>
          <w:vertAlign w:val="baseline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0"/>
              <w:szCs w:val="20"/>
              <w:vertAlign w:val="baseline"/>
              <w:rtl w:val="0"/>
            </w:rPr>
            <w:t xml:space="preserve">→ En quoi consiste cette initiative, en quelques lignes.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Historique de l’action (facultatif)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0"/>
          <w:sz w:val="20"/>
          <w:szCs w:val="20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0"/>
              <w:szCs w:val="20"/>
              <w:vertAlign w:val="baseline"/>
              <w:rtl w:val="0"/>
            </w:rPr>
            <w:t xml:space="preserve">→ De quels constats/besoins cette initiative résulte-t-elle ? S’agit-il d’une initiative de l’équipe, ou d’une demande des élus ? Précisez le contexte de cette action en quelques lignes pour situer le projet.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Descriptif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0"/>
          <w:sz w:val="20"/>
          <w:szCs w:val="20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0"/>
              <w:szCs w:val="20"/>
              <w:vertAlign w:val="baseline"/>
              <w:rtl w:val="0"/>
            </w:rPr>
            <w:t xml:space="preserve">→ Décrivez précisément votre action.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Moyens mis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oeuvre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pour ce projet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i w:val="0"/>
          <w:sz w:val="20"/>
          <w:szCs w:val="20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0"/>
              <w:szCs w:val="20"/>
              <w:vertAlign w:val="baseline"/>
              <w:rtl w:val="0"/>
            </w:rPr>
            <w:t xml:space="preserve">→ Précisez les moyens humains, techniques et financiers mis en oeuvre pour la réalisation de ce projet.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Public(s) visé(s)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i w:val="0"/>
          <w:sz w:val="20"/>
          <w:szCs w:val="20"/>
          <w:vertAlign w:val="baselin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→ </w:t>
          </w:r>
        </w:sdtContent>
      </w:sdt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Quels sont les publics touchés par cette action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Périodicité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i w:val="0"/>
          <w:sz w:val="20"/>
          <w:szCs w:val="20"/>
          <w:vertAlign w:val="baselin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0"/>
              <w:szCs w:val="20"/>
              <w:vertAlign w:val="baseline"/>
              <w:rtl w:val="0"/>
            </w:rPr>
            <w:t xml:space="preserve">→ Précisez si l’action est occasionnelle, hebdomadaire, mensuelle…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Partenariats (facultatif)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i w:val="0"/>
          <w:sz w:val="20"/>
          <w:szCs w:val="20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0"/>
              <w:szCs w:val="20"/>
              <w:vertAlign w:val="baseline"/>
              <w:rtl w:val="0"/>
            </w:rPr>
            <w:t xml:space="preserve">→ Si des partenaires sont associés à ce projet, citez-les précisément (même s’il s’agit de services de la même commune/du même département).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jc w:val="right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und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fr-FR" w:val="und"/>
    </w:rPr>
  </w:style>
  <w:style w:type="paragraph" w:styleId="Titre2">
    <w:name w:val="Titre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fr-FR" w:val="und"/>
    </w:rPr>
  </w:style>
  <w:style w:type="paragraph" w:styleId="Titre3">
    <w:name w:val="Titre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und"/>
    </w:rPr>
  </w:style>
  <w:style w:type="paragraph" w:styleId="Titre4">
    <w:name w:val="Titre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und"/>
    </w:rPr>
  </w:style>
  <w:style w:type="paragraph" w:styleId="Titre5">
    <w:name w:val="Titre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und"/>
    </w:rPr>
  </w:style>
  <w:style w:type="paragraph" w:styleId="Titre6">
    <w:name w:val="Titre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und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und"/>
    </w:rPr>
    <w:tblPr>
      <w:tblStyle w:val="TableNormal"/>
      <w:jc w:val="left"/>
    </w:tblPr>
  </w:style>
  <w:style w:type="paragraph" w:styleId="Titre">
    <w:name w:val="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fr-FR" w:val="und"/>
    </w:rPr>
  </w:style>
  <w:style w:type="paragraph" w:styleId="Sous-titre">
    <w:name w:val="Sous-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fr-FR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IGPL4iMvmpXpu8WILWTHL/dtQ==">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2019-06-06T09:38:00Z</dcterms:created>
</cp:coreProperties>
</file>